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B643" w14:textId="77777777" w:rsidR="00BA240C" w:rsidRPr="005A6334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</w:pPr>
      <w:r w:rsidRPr="005A6334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D0AFCC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Communiqué à la presse agricole</w:t>
      </w:r>
    </w:p>
    <w:p w14:paraId="2EF4EA32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(Prière de reprendre intégralement les</w:t>
      </w:r>
    </w:p>
    <w:p w14:paraId="04C945C7" w14:textId="77777777" w:rsidR="00BA240C" w:rsidRPr="005A6334" w:rsidRDefault="00AA391D">
      <w:pPr>
        <w:tabs>
          <w:tab w:val="right" w:pos="9026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ab/>
        <w:t>tableaux sans commentaire personnel)</w:t>
      </w:r>
    </w:p>
    <w:p w14:paraId="38868CF4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DA462F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CC32EDF" w14:textId="7D63CCF6" w:rsidR="00BA240C" w:rsidRPr="005A6334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aps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Nou</w:t>
      </w:r>
      <w:r w:rsidR="002B7F55"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>velles variétés de MAÏS GRAIN</w:t>
      </w:r>
      <w:r w:rsidRPr="005A6334">
        <w:rPr>
          <w:rFonts w:asciiTheme="minorHAnsi" w:hAnsiTheme="minorHAnsi" w:cstheme="minorHAnsi"/>
          <w:b/>
          <w:caps/>
          <w:sz w:val="22"/>
          <w:szCs w:val="22"/>
          <w:lang w:val="fr-FR"/>
        </w:rPr>
        <w:t xml:space="preserve"> au Catalogue national belge des variétés</w:t>
      </w:r>
    </w:p>
    <w:p w14:paraId="66EA0AE2" w14:textId="77777777" w:rsidR="00BA240C" w:rsidRPr="005A6334" w:rsidRDefault="00BA240C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BB07344" w14:textId="3F1E7576" w:rsidR="00BA240C" w:rsidRPr="005A6334" w:rsidRDefault="002B7F55">
      <w:pPr>
        <w:jc w:val="both"/>
        <w:rPr>
          <w:rFonts w:asciiTheme="minorHAnsi" w:hAnsiTheme="minorHAnsi" w:cstheme="minorHAnsi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Trois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nouvelles variétés de maïs 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grain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sont </w:t>
      </w:r>
      <w:r w:rsidR="003751EF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admises </w:t>
      </w:r>
      <w:r w:rsidR="00F528EF" w:rsidRPr="005A6334">
        <w:rPr>
          <w:rFonts w:asciiTheme="minorHAnsi" w:hAnsiTheme="minorHAnsi" w:cstheme="minorHAnsi"/>
          <w:sz w:val="22"/>
          <w:szCs w:val="22"/>
          <w:lang w:val="fr-FR"/>
        </w:rPr>
        <w:t>au Catalogue National B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Instituut voor Landbouw-, Visserij- en Voedingsonderzoek – ILVO Plant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14:paraId="5B87EB6F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49ABB8F" w14:textId="71C496AF" w:rsidR="00F528EF" w:rsidRPr="005A6334" w:rsidRDefault="00F528EF" w:rsidP="00F528EF">
      <w:pPr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réalisés en 201</w:t>
      </w:r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6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, 201</w:t>
      </w:r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7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et 201</w:t>
      </w:r>
      <w:r w:rsidR="007B17A4" w:rsidRPr="005A6334">
        <w:rPr>
          <w:rFonts w:asciiTheme="minorHAnsi" w:hAnsiTheme="minorHAnsi" w:cstheme="minorHAnsi"/>
          <w:sz w:val="22"/>
          <w:szCs w:val="22"/>
          <w:lang w:val="fr-FR"/>
        </w:rPr>
        <w:t>8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en vue de l'in</w:t>
      </w:r>
      <w:r w:rsidR="002B7F55" w:rsidRPr="005A6334">
        <w:rPr>
          <w:rFonts w:asciiTheme="minorHAnsi" w:hAnsiTheme="minorHAnsi" w:cstheme="minorHAnsi"/>
          <w:sz w:val="22"/>
          <w:szCs w:val="22"/>
          <w:lang w:val="fr-FR"/>
        </w:rPr>
        <w:t>scription des variétés de maïs grain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au Catalogue national des variétés, ont permis l'admission de la variété suivante:</w:t>
      </w:r>
      <w:r w:rsidR="00B37CC2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2B7F55" w:rsidRPr="005A6334">
        <w:rPr>
          <w:rFonts w:asciiTheme="minorHAnsi" w:hAnsiTheme="minorHAnsi" w:cstheme="minorHAnsi"/>
          <w:b/>
          <w:sz w:val="22"/>
          <w:szCs w:val="22"/>
          <w:lang w:val="fr-FR"/>
        </w:rPr>
        <w:t>ES Hubble et KWS Modiano</w:t>
      </w:r>
      <w:r w:rsidR="007B17A4" w:rsidRPr="005A6334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1F1A55F6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54A1CAC" w14:textId="77777777" w:rsidR="002B7F55" w:rsidRPr="005A6334" w:rsidRDefault="002B7F55" w:rsidP="002B7F55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ont été effectués dans 6 centres situés dans les régions agricoles suivantes : région limoneuse (2 essais), Polders (1 essai), région sablo-limoneuse (2 essais) et région Campine (1 essai).</w:t>
      </w:r>
    </w:p>
    <w:p w14:paraId="20FEC5F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FE71E5" w14:textId="4BA4233C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données concernant la croissance juvénile, la verse, ... sont reprises au tableau</w:t>
      </w:r>
      <w:r w:rsidRPr="005A6334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 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1.</w:t>
      </w:r>
    </w:p>
    <w:p w14:paraId="0464491E" w14:textId="77777777" w:rsidR="00F528EF" w:rsidRPr="005A6334" w:rsidRDefault="00F528EF" w:rsidP="00F528EF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655BF1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367801FD" w14:textId="72D52F63" w:rsidR="00F528EF" w:rsidRPr="005A6334" w:rsidRDefault="002B7F55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Les résultats de rendement et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 de précocité 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sont repris au tableau 2</w:t>
      </w:r>
      <w:r w:rsidR="00F528EF"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34F115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1FCD4B15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21C624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49694088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65DD6B5C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7A6C8CF9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5A6334" w:rsidRDefault="00F528EF" w:rsidP="00F528EF">
      <w:pPr>
        <w:widowControl/>
        <w:jc w:val="both"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sectPr w:rsidR="00F528EF" w:rsidRPr="005A6334" w:rsidSect="00F528E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D2D23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5695B86" w14:textId="7F50CCD2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Tableau </w:t>
      </w:r>
      <w:r w:rsidR="008630CC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1</w:t>
      </w:r>
      <w:r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: Caractères généraux des nouvelles variétés </w:t>
      </w:r>
      <w:r w:rsidR="008630CC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de maïs grain</w:t>
      </w:r>
      <w:r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admises au catalogue en 201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9</w:t>
      </w:r>
      <w:r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en comparaison avec les 4 meilleures variétés témoins s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ur la base des essais de 2016, 2017 et 2018</w:t>
      </w:r>
    </w:p>
    <w:p w14:paraId="65E90C47" w14:textId="77777777" w:rsidR="00F528EF" w:rsidRPr="005A6334" w:rsidRDefault="00F528EF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tbl>
      <w:tblPr>
        <w:tblW w:w="133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1276"/>
        <w:gridCol w:w="1417"/>
        <w:gridCol w:w="1276"/>
        <w:gridCol w:w="1417"/>
        <w:gridCol w:w="1134"/>
        <w:gridCol w:w="1134"/>
        <w:gridCol w:w="1562"/>
        <w:gridCol w:w="1563"/>
      </w:tblGrid>
      <w:tr w:rsidR="005A6334" w:rsidRPr="005A6334" w14:paraId="3438A5CA" w14:textId="77777777" w:rsidTr="004C2B5E">
        <w:trPr>
          <w:trHeight w:val="118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960EEC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Caractères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6B62F4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Vigueur au départ (1-9)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640737C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Floraison des épis (# jours) (2)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19B3AF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Longueur des plantes (cm)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B328E58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  <w:t>Hauteur moyenne de l'implantation de l'épi (cm)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D8B93A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Verse moment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EACEED1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Verse moment 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B52D71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Pourriture moment 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41351DF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Pourriture moment 2</w:t>
            </w:r>
          </w:p>
        </w:tc>
      </w:tr>
      <w:tr w:rsidR="005A6334" w:rsidRPr="005A6334" w14:paraId="677C08C7" w14:textId="77777777" w:rsidTr="004C2B5E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C3CFEA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Variétés 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B038AA4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1EA943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F44C543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C509FE4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C12ADBF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3A0298A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26672F7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F5553C8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</w:tr>
      <w:tr w:rsidR="005A6334" w:rsidRPr="005A6334" w14:paraId="6E095D15" w14:textId="77777777" w:rsidTr="004C2B5E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C69B46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#  centres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E3B964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F013C71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D78B7A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B2A8491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92C9507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E5E0C0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900444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A47580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4C2B5E" w:rsidRPr="005A6334" w14:paraId="5F142EB5" w14:textId="77777777" w:rsidTr="004C2B5E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C95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ES HUBBLE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F70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A57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3170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7A9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C48CCA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FDFE0A3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8901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AC9E99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</w:tr>
      <w:tr w:rsidR="004C2B5E" w:rsidRPr="005A6334" w14:paraId="6EBDD00E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CD9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KWS MODIANO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F82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177C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BAAE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56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E1AAF4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0C3EBDF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AE1E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DF0822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1,2</w:t>
            </w:r>
          </w:p>
        </w:tc>
      </w:tr>
      <w:tr w:rsidR="004C2B5E" w:rsidRPr="005A6334" w14:paraId="2E4263BD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02E3AAA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TEMOIN (3)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3160B4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2FBC6BE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6A837EA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19F1720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F46F885" w14:textId="5FD46B12" w:rsidR="004C2B5E" w:rsidRPr="004C2B5E" w:rsidRDefault="00B37CC2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0B8F49C" w14:textId="7D766EB5" w:rsidR="004C2B5E" w:rsidRPr="004C2B5E" w:rsidRDefault="00B37CC2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28CECE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369006E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1,6</w:t>
            </w:r>
          </w:p>
        </w:tc>
      </w:tr>
      <w:tr w:rsidR="004C2B5E" w:rsidRPr="005A6334" w14:paraId="21DD91D8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1317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CORYPHEE (T)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337F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5651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0B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C63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9895FE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2BF1DE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A8E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3BB41F0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1,7</w:t>
            </w:r>
          </w:p>
        </w:tc>
      </w:tr>
      <w:tr w:rsidR="004C2B5E" w:rsidRPr="005A6334" w14:paraId="537B156C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D666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ES EUROJET (T)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31C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9AA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15C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2C4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23A40C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FD33E3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606F257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114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0,7</w:t>
            </w:r>
          </w:p>
        </w:tc>
      </w:tr>
      <w:tr w:rsidR="004C2B5E" w:rsidRPr="005A6334" w14:paraId="7BD93B01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C580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NK FALKONE (T)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D3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0C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02E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669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B1FC42B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CB58048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A07421F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B6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</w:tr>
      <w:tr w:rsidR="004C2B5E" w:rsidRPr="005A6334" w14:paraId="459680A6" w14:textId="77777777" w:rsidTr="004C2B5E">
        <w:trPr>
          <w:trHeight w:val="30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2FB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SUCCESSOR KWS (T)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D80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3B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270A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84C6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E92671D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18A8C72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0B3A9AC7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1F5" w14:textId="77777777" w:rsidR="004C2B5E" w:rsidRPr="004C2B5E" w:rsidRDefault="004C2B5E" w:rsidP="004C2B5E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1,6</w:t>
            </w:r>
          </w:p>
        </w:tc>
      </w:tr>
      <w:tr w:rsidR="004C2B5E" w:rsidRPr="004C2B5E" w14:paraId="533B1606" w14:textId="77777777" w:rsidTr="004C2B5E">
        <w:trPr>
          <w:trHeight w:val="300"/>
        </w:trPr>
        <w:tc>
          <w:tcPr>
            <w:tcW w:w="133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48A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(1) T = variété témoin</w:t>
            </w:r>
          </w:p>
        </w:tc>
      </w:tr>
      <w:tr w:rsidR="004C2B5E" w:rsidRPr="004C2B5E" w14:paraId="5D090DA8" w14:textId="77777777" w:rsidTr="004C2B5E">
        <w:trPr>
          <w:trHeight w:val="300"/>
        </w:trPr>
        <w:tc>
          <w:tcPr>
            <w:tcW w:w="13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C3B7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(2) jours plus tardifs que KALIENTES</w:t>
            </w:r>
          </w:p>
        </w:tc>
      </w:tr>
      <w:tr w:rsidR="004C2B5E" w:rsidRPr="004C2B5E" w14:paraId="0F53A91D" w14:textId="77777777" w:rsidTr="004C2B5E">
        <w:trPr>
          <w:trHeight w:val="300"/>
        </w:trPr>
        <w:tc>
          <w:tcPr>
            <w:tcW w:w="13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DF7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(3) le témoin est la moyenne des variétés CORYPHEE, MILLESIM, NK FALKONE et SUCCESSOR KWS </w:t>
            </w:r>
          </w:p>
        </w:tc>
      </w:tr>
    </w:tbl>
    <w:p w14:paraId="722C2349" w14:textId="2C035CA1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Pr="005A6334" w:rsidRDefault="00AD7A6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Pr="005A6334" w:rsidRDefault="00AD7A6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3A9F5754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Pr="005A6334" w:rsidRDefault="00F528EF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498FB12" w14:textId="77777777" w:rsidR="002465D7" w:rsidRPr="005A6334" w:rsidRDefault="002465D7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BE491CB" w14:textId="77777777" w:rsidR="002465D7" w:rsidRPr="005A6334" w:rsidRDefault="002465D7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963CA66" w14:textId="77777777" w:rsidR="004C2B5E" w:rsidRPr="005A6334" w:rsidRDefault="004C2B5E" w:rsidP="00F528EF">
      <w:pPr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FE971CD" w14:textId="012CCCD4" w:rsidR="00F528EF" w:rsidRPr="005A6334" w:rsidRDefault="002465D7" w:rsidP="00F528EF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lastRenderedPageBreak/>
        <w:t>Tableau 2</w:t>
      </w:r>
      <w:r w:rsidR="00F528EF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: Résultats des rendements et de précocité des nouvelles vari</w:t>
      </w:r>
      <w:r w:rsidR="00213AF7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étés précoces de maïs grain</w:t>
      </w:r>
      <w:r w:rsidR="00F528EF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admises au catalogue en 201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9</w:t>
      </w:r>
      <w:r w:rsidR="00F528EF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en comparaison avec les 4 meilleures variétés témoins, sur la base des essais de 201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6</w:t>
      </w:r>
      <w:r w:rsidR="00F528EF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, 201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7</w:t>
      </w:r>
      <w:r w:rsidR="00F528EF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et 201</w:t>
      </w:r>
      <w:r w:rsidR="00287848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8</w:t>
      </w:r>
    </w:p>
    <w:p w14:paraId="49BFB51E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1402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37"/>
        <w:gridCol w:w="1238"/>
        <w:gridCol w:w="1238"/>
        <w:gridCol w:w="1238"/>
        <w:gridCol w:w="1238"/>
        <w:gridCol w:w="401"/>
        <w:gridCol w:w="837"/>
        <w:gridCol w:w="1238"/>
        <w:gridCol w:w="1238"/>
      </w:tblGrid>
      <w:tr w:rsidR="004747F9" w:rsidRPr="004747F9" w14:paraId="23C73495" w14:textId="77777777" w:rsidTr="004747F9">
        <w:trPr>
          <w:trHeight w:val="9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3DE9843" w14:textId="77777777" w:rsidR="004747F9" w:rsidRPr="00B37CC2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fr-BE" w:eastAsia="nl-BE"/>
              </w:rPr>
            </w:pPr>
            <w:r w:rsidRPr="00B37CC2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9D9D9" w:fill="C4BD97"/>
            <w:vAlign w:val="bottom"/>
            <w:hideMark/>
          </w:tcPr>
          <w:p w14:paraId="0D83F35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 en grains (15% d'humidité) en %  par rapport à la moyenne des variétés témoins = 100</w:t>
            </w:r>
          </w:p>
        </w:tc>
        <w:tc>
          <w:tcPr>
            <w:tcW w:w="4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C4BD97"/>
            <w:noWrap/>
            <w:vAlign w:val="center"/>
            <w:hideMark/>
          </w:tcPr>
          <w:p w14:paraId="1A1B48D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Précocité  (% d'humidité des grains)</w:t>
            </w:r>
          </w:p>
        </w:tc>
      </w:tr>
      <w:tr w:rsidR="004747F9" w:rsidRPr="004747F9" w14:paraId="4D8FC2B6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C38F9FE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20DB522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18EB639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195814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3198C1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6620158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2016</w:t>
            </w:r>
          </w:p>
        </w:tc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7E7180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792075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831121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747F9" w:rsidRPr="004747F9" w14:paraId="5080159E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F2DAF77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6B1188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30805D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4BD97"/>
            <w:noWrap/>
            <w:vAlign w:val="bottom"/>
            <w:hideMark/>
          </w:tcPr>
          <w:p w14:paraId="25D58F9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% rel.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CF2059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3BCE6AF8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8EA8D7F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943466F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4F1EF90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747F9" w:rsidRPr="004747F9" w14:paraId="37B513BB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CCA31FA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3EC2D0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687F38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4897672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735D117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473FB5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07D1A4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A661D6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A833C8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</w:tr>
      <w:tr w:rsidR="004747F9" w:rsidRPr="004747F9" w14:paraId="0841EE80" w14:textId="77777777" w:rsidTr="004747F9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1DE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 HUBBLE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FB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4D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64E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86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76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29,0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E67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04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251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28,3</w:t>
            </w:r>
          </w:p>
        </w:tc>
      </w:tr>
      <w:tr w:rsidR="004747F9" w:rsidRPr="004747F9" w14:paraId="1ACBAD05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3D0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MODIANO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F0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8CE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39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3F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B4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29,9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A84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1C2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26,5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1F9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28,3</w:t>
            </w:r>
          </w:p>
        </w:tc>
      </w:tr>
      <w:tr w:rsidR="004747F9" w:rsidRPr="004747F9" w14:paraId="247F353E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2B94A59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STANDAARD (1)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5EE4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3119B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72BC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7E55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5DED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3E78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71B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9293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27,8</w:t>
            </w:r>
          </w:p>
        </w:tc>
      </w:tr>
      <w:tr w:rsidR="004747F9" w:rsidRPr="004747F9" w14:paraId="676D2098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494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CORYPHEE (T)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F6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463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0F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7F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D1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BB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243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21,7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93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24,3</w:t>
            </w:r>
          </w:p>
        </w:tc>
      </w:tr>
      <w:tr w:rsidR="004747F9" w:rsidRPr="004747F9" w14:paraId="6EFE0088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439B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9B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C4E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FC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F7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16C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31,3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F7D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5E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C3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29,8</w:t>
            </w:r>
          </w:p>
        </w:tc>
      </w:tr>
      <w:tr w:rsidR="004747F9" w:rsidRPr="004747F9" w14:paraId="2B67150F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C1B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NK FALKONE (T)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47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5B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97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02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04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E42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66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76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</w:tr>
      <w:tr w:rsidR="004747F9" w:rsidRPr="004747F9" w14:paraId="47A22142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95B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D7C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F7A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13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09B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B2A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6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2E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5E8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</w:tr>
      <w:tr w:rsidR="004747F9" w:rsidRPr="004747F9" w14:paraId="0584DBFC" w14:textId="77777777" w:rsidTr="004747F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vAlign w:val="bottom"/>
            <w:hideMark/>
          </w:tcPr>
          <w:p w14:paraId="31E2AE14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Gem. Std.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D0B9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12962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236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13212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3E73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11810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9E59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12704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9F66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E7C6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72A9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B003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747F9" w:rsidRPr="004747F9" w14:paraId="58DFF58B" w14:textId="77777777" w:rsidTr="004747F9">
        <w:trPr>
          <w:trHeight w:val="300"/>
        </w:trPr>
        <w:tc>
          <w:tcPr>
            <w:tcW w:w="10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1263" w14:textId="27CDD31F" w:rsidR="004747F9" w:rsidRPr="00B37CC2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</w:pPr>
            <w:r w:rsidRPr="00B37CC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  <w:t xml:space="preserve">  (1) </w:t>
            </w:r>
            <w:r w:rsidR="00B37CC2"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le témoin est la moyenne des variétés </w:t>
            </w:r>
            <w:bookmarkStart w:id="0" w:name="_GoBack"/>
            <w:bookmarkEnd w:id="0"/>
            <w:r w:rsidRPr="00B37CC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  <w:t xml:space="preserve">CORYPHEE, MILLESIM, NK FALKONE et SUCCESSOR KWS 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3083" w14:textId="77777777" w:rsidR="004747F9" w:rsidRPr="00B37CC2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</w:pPr>
          </w:p>
        </w:tc>
      </w:tr>
    </w:tbl>
    <w:p w14:paraId="10105945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</w:rPr>
      </w:pPr>
    </w:p>
    <w:p w14:paraId="5E3D5A85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2C691D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6D57956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69CB3E2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4D3A2E0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761C55B2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1598EA36" w14:textId="77777777" w:rsidR="00417178" w:rsidRPr="005A6334" w:rsidRDefault="00417178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437C1864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</w:p>
    <w:p w14:paraId="0AC08973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  <w:sectPr w:rsidR="00F528EF" w:rsidRPr="005A6334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5A6334" w:rsidRDefault="00F528EF" w:rsidP="00F528EF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Pr="005A6334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fr-BE"/>
        </w:rPr>
      </w:pPr>
    </w:p>
    <w:tbl>
      <w:tblPr>
        <w:tblW w:w="10428" w:type="dxa"/>
        <w:tblInd w:w="108" w:type="dxa"/>
        <w:tblLook w:val="04A0" w:firstRow="1" w:lastRow="0" w:firstColumn="1" w:lastColumn="0" w:noHBand="0" w:noVBand="1"/>
      </w:tblPr>
      <w:tblGrid>
        <w:gridCol w:w="2336"/>
        <w:gridCol w:w="896"/>
        <w:gridCol w:w="896"/>
        <w:gridCol w:w="1676"/>
        <w:gridCol w:w="1936"/>
        <w:gridCol w:w="896"/>
        <w:gridCol w:w="896"/>
        <w:gridCol w:w="896"/>
      </w:tblGrid>
      <w:tr w:rsidR="004C2B5E" w:rsidRPr="004C2B5E" w14:paraId="4C4F13B4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CE3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ES HUBBLE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E71A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D4B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B12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232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3A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E59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FB0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2B5E" w:rsidRPr="004C2B5E" w14:paraId="4E0ECD33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F07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Aanvrager: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32D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EURALIS SEMENCES</w:t>
            </w:r>
          </w:p>
        </w:tc>
      </w:tr>
      <w:tr w:rsidR="004C2B5E" w:rsidRPr="004C2B5E" w14:paraId="792D6BA3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03BB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Kweker: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ED7C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EURALIS SEMENCES</w:t>
            </w:r>
          </w:p>
        </w:tc>
      </w:tr>
      <w:tr w:rsidR="004C2B5E" w:rsidRPr="004C2B5E" w14:paraId="0EF3FE77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31E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Aanvraaggemachtigde: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E467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2B5E" w:rsidRPr="004C2B5E" w14:paraId="41AE9A8D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D3C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Hybridetype: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3EA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Enkele hybride</w:t>
            </w:r>
          </w:p>
        </w:tc>
      </w:tr>
      <w:tr w:rsidR="004C2B5E" w:rsidRPr="004C2B5E" w14:paraId="2A690436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FAEC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Korreltype: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188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flint tot flint-dent</w:t>
            </w:r>
          </w:p>
        </w:tc>
      </w:tr>
      <w:tr w:rsidR="004C2B5E" w:rsidRPr="004C2B5E" w14:paraId="5B0DEC06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526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Aangenomen als korrelmaïs</w:t>
            </w:r>
          </w:p>
        </w:tc>
      </w:tr>
      <w:tr w:rsidR="004C2B5E" w:rsidRPr="00B37CC2" w14:paraId="54490B62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8682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  <w:t>Het ras heeft aan de proeven in 2016, 2017 en 2018 deelgenomen onder de referentie: ESZ5102</w:t>
            </w:r>
          </w:p>
        </w:tc>
      </w:tr>
      <w:tr w:rsidR="004C2B5E" w:rsidRPr="004C2B5E" w14:paraId="59A26C15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867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RW 80-1089</w:t>
            </w:r>
          </w:p>
        </w:tc>
      </w:tr>
      <w:tr w:rsidR="004C2B5E" w:rsidRPr="004C2B5E" w14:paraId="34F57A07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5970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0889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A5B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760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74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DA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94B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477E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2B5E" w:rsidRPr="004C2B5E" w14:paraId="7D2F1777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1C6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KWS MODIANO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A983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E29A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09E2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F813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A3A2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3035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72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C2B5E" w:rsidRPr="004C2B5E" w14:paraId="6B11440B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1F3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Aanvrager: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C1D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4C2B5E" w:rsidRPr="004C2B5E" w14:paraId="4823EA86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4107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Kweker: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3BB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4C2B5E" w:rsidRPr="004C2B5E" w14:paraId="65FBF106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FC5C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Aanvraaggemachtigde: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1B8F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KWS BENELUX BV</w:t>
            </w:r>
          </w:p>
        </w:tc>
      </w:tr>
      <w:tr w:rsidR="004C2B5E" w:rsidRPr="004C2B5E" w14:paraId="0827975B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63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Hybridetype: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1A94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Drieweg hybride</w:t>
            </w:r>
          </w:p>
        </w:tc>
      </w:tr>
      <w:tr w:rsidR="004C2B5E" w:rsidRPr="004C2B5E" w14:paraId="720D1446" w14:textId="77777777" w:rsidTr="004C2B5E">
        <w:trPr>
          <w:trHeight w:val="3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2DA3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Korreltype:</w:t>
            </w:r>
          </w:p>
        </w:tc>
        <w:tc>
          <w:tcPr>
            <w:tcW w:w="8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AD2B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flint-dent</w:t>
            </w:r>
          </w:p>
        </w:tc>
      </w:tr>
      <w:tr w:rsidR="004C2B5E" w:rsidRPr="004C2B5E" w14:paraId="0CB1F34B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B078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Aangenomen als korrelmaïs</w:t>
            </w:r>
          </w:p>
        </w:tc>
      </w:tr>
      <w:tr w:rsidR="004C2B5E" w:rsidRPr="00B37CC2" w14:paraId="255488FC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5ED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  <w:t>Het ras heeft aan de proeven in 2016, 2017 en 2018 deelgenomen onder de referentie: KXB5128</w:t>
            </w:r>
          </w:p>
        </w:tc>
      </w:tr>
      <w:tr w:rsidR="004C2B5E" w:rsidRPr="004C2B5E" w14:paraId="2D155559" w14:textId="77777777" w:rsidTr="004C2B5E">
        <w:trPr>
          <w:trHeight w:val="300"/>
        </w:trPr>
        <w:tc>
          <w:tcPr>
            <w:tcW w:w="10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F4C1" w14:textId="77777777" w:rsidR="004C2B5E" w:rsidRPr="004C2B5E" w:rsidRDefault="004C2B5E" w:rsidP="004C2B5E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C2B5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RW 80-1097</w:t>
            </w:r>
          </w:p>
        </w:tc>
      </w:tr>
    </w:tbl>
    <w:p w14:paraId="6840B0D4" w14:textId="77777777" w:rsidR="00F528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667A2C3" w14:textId="77777777" w:rsidR="00A5390D" w:rsidRDefault="00A53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0DC0DE0" w14:textId="77777777" w:rsidR="00A5390D" w:rsidRDefault="00A53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50D07BF" w14:textId="77777777" w:rsidR="00A5390D" w:rsidRPr="005A6334" w:rsidRDefault="00A539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AAD5791" w14:textId="2976021C" w:rsidR="00BA240C" w:rsidRPr="005A6334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Variétés </w:t>
      </w:r>
      <w:r w:rsidR="007D16EC"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admises </w:t>
      </w:r>
      <w:r w:rsidRPr="005A6334">
        <w:rPr>
          <w:rFonts w:asciiTheme="minorHAnsi" w:hAnsiTheme="minorHAnsi" w:cstheme="minorHAnsi"/>
          <w:sz w:val="22"/>
          <w:szCs w:val="22"/>
          <w:u w:val="single"/>
          <w:lang w:val="fr-FR"/>
        </w:rPr>
        <w:t>après 2 années d'essais</w:t>
      </w:r>
    </w:p>
    <w:p w14:paraId="57051032" w14:textId="77777777" w:rsidR="00BA240C" w:rsidRPr="005A633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57E6937" w14:textId="47D905FA" w:rsidR="00BA240C" w:rsidRPr="005A6334" w:rsidRDefault="00311C3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réalisés en 2017 et 2018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en vue de l'inscription des variétés de maïs </w:t>
      </w:r>
      <w:r w:rsidR="005A6334" w:rsidRPr="005A6334">
        <w:rPr>
          <w:rFonts w:asciiTheme="minorHAnsi" w:hAnsiTheme="minorHAnsi" w:cstheme="minorHAnsi"/>
          <w:sz w:val="22"/>
          <w:szCs w:val="22"/>
          <w:lang w:val="fr-FR"/>
        </w:rPr>
        <w:t>grain</w:t>
      </w:r>
      <w:r w:rsidR="00AA391D"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au Catalogue national des variétés, ont permis l'admission des variétés suivantes :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A6334" w:rsidRPr="005A6334">
        <w:rPr>
          <w:rFonts w:asciiTheme="minorHAnsi" w:hAnsiTheme="minorHAnsi" w:cstheme="minorHAnsi"/>
          <w:b/>
          <w:sz w:val="22"/>
          <w:szCs w:val="22"/>
          <w:lang w:val="fr-FR"/>
        </w:rPr>
        <w:t>Henley</w:t>
      </w:r>
      <w:r w:rsidR="00F528EF" w:rsidRPr="005A6334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01916D2C" w14:textId="77777777" w:rsidR="00BA240C" w:rsidRPr="005A6334" w:rsidRDefault="00BA240C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F9B3D2A" w14:textId="77777777" w:rsidR="005A6334" w:rsidRPr="005A6334" w:rsidRDefault="005A6334" w:rsidP="005A633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essais ont été effectués dans 6 centres situés dans les régions agricoles suivantes : région limoneuse (2 essais), Polders (1 essai), région sablo-limoneuse (2 essais) et région Campine (1 essai).</w:t>
      </w:r>
    </w:p>
    <w:p w14:paraId="51862AA8" w14:textId="77777777" w:rsidR="005A6334" w:rsidRPr="005A6334" w:rsidRDefault="005A6334" w:rsidP="005A633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31F43ED" w14:textId="2F2CE137" w:rsidR="005A6334" w:rsidRPr="005A6334" w:rsidRDefault="005A6334" w:rsidP="005A633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5A6334">
        <w:rPr>
          <w:rFonts w:asciiTheme="minorHAnsi" w:hAnsiTheme="minorHAnsi" w:cstheme="minorHAnsi"/>
          <w:sz w:val="22"/>
          <w:szCs w:val="22"/>
          <w:lang w:val="fr-FR"/>
        </w:rPr>
        <w:t>Les données concernant la croissance juvénile, la verse, ... sont reprises au tableau</w:t>
      </w:r>
      <w:r w:rsidRPr="005A6334">
        <w:rPr>
          <w:rFonts w:asciiTheme="minorHAnsi" w:hAnsiTheme="minorHAnsi" w:cstheme="minorHAns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fr-FR"/>
        </w:rPr>
        <w:t>3</w:t>
      </w:r>
      <w:r w:rsidRPr="005A6334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017DAD39" w14:textId="77777777" w:rsidR="005A6334" w:rsidRPr="005A6334" w:rsidRDefault="005A6334" w:rsidP="005A6334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D6B1A2E" w14:textId="77777777" w:rsidR="005A6334" w:rsidRPr="005A6334" w:rsidRDefault="005A6334" w:rsidP="005A6334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20D83294" w14:textId="77777777" w:rsidR="005A6334" w:rsidRPr="005A6334" w:rsidRDefault="005A6334" w:rsidP="005A6334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21190ADE" w14:textId="2B908CDA" w:rsidR="005A6334" w:rsidRPr="005A6334" w:rsidRDefault="005A6334" w:rsidP="005A6334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 xml:space="preserve">Les résultats de rendement et de précocité </w:t>
      </w:r>
      <w:r>
        <w:rPr>
          <w:rFonts w:asciiTheme="minorHAnsi" w:hAnsiTheme="minorHAnsi" w:cstheme="minorHAnsi"/>
          <w:sz w:val="22"/>
          <w:szCs w:val="22"/>
          <w:lang w:val="fr-BE" w:eastAsia="nl-BE"/>
        </w:rPr>
        <w:t>sont repris au tableau 4</w:t>
      </w: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.</w:t>
      </w:r>
    </w:p>
    <w:p w14:paraId="58C2BBD7" w14:textId="77777777" w:rsidR="005A6334" w:rsidRPr="005A6334" w:rsidRDefault="005A6334" w:rsidP="005A6334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</w:p>
    <w:p w14:paraId="41AD151A" w14:textId="77777777" w:rsidR="005A6334" w:rsidRPr="005A6334" w:rsidRDefault="005A6334" w:rsidP="005A6334">
      <w:pPr>
        <w:widowControl/>
        <w:jc w:val="both"/>
        <w:rPr>
          <w:rFonts w:asciiTheme="minorHAnsi" w:hAnsiTheme="minorHAnsi" w:cstheme="minorHAnsi"/>
          <w:sz w:val="22"/>
          <w:szCs w:val="22"/>
          <w:lang w:val="fr-BE" w:eastAsia="nl-BE"/>
        </w:rPr>
      </w:pPr>
      <w:r w:rsidRPr="005A6334">
        <w:rPr>
          <w:rFonts w:asciiTheme="minorHAnsi" w:hAnsiTheme="minorHAnsi" w:cstheme="minorHAnsi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0C15CA91" w14:textId="77777777" w:rsidR="005A6334" w:rsidRDefault="005A6334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2AB93117" w14:textId="77777777" w:rsidR="005A6334" w:rsidRDefault="005A6334">
      <w:pPr>
        <w:widowControl/>
        <w:rPr>
          <w:rFonts w:asciiTheme="minorHAnsi" w:hAnsiTheme="minorHAnsi" w:cstheme="minorHAnsi"/>
          <w:lang w:val="fr-BE"/>
        </w:rPr>
        <w:sectPr w:rsidR="005A6334" w:rsidSect="005A6334">
          <w:footerReference w:type="default" r:id="rId8"/>
          <w:pgSz w:w="11906" w:h="16838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02B750C8" w14:textId="77777777" w:rsidR="005A6334" w:rsidRPr="00A5390D" w:rsidRDefault="005A6334" w:rsidP="005A6334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15A4EF36" w14:textId="16AEBA15" w:rsidR="005A6334" w:rsidRPr="00A5390D" w:rsidRDefault="005A6334" w:rsidP="005A6334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  <w:r w:rsidRPr="00A5390D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Tableau 3 : Caractères généraux des nouvelles </w:t>
      </w:r>
      <w:r w:rsidR="00A5390D" w:rsidRPr="00A5390D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variétés précoces de maïs grain</w:t>
      </w:r>
      <w:r w:rsidRPr="00A5390D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admises au catalogue en 2019 en comparaison avec les 4 meilleures variétés témoins sur base des essais de 2017 et 2018</w:t>
      </w:r>
    </w:p>
    <w:p w14:paraId="0EA8DCDA" w14:textId="377AF289" w:rsidR="00BA240C" w:rsidRPr="00A5390D" w:rsidRDefault="00BA240C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tbl>
      <w:tblPr>
        <w:tblW w:w="1418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7"/>
        <w:gridCol w:w="1700"/>
        <w:gridCol w:w="1842"/>
        <w:gridCol w:w="1418"/>
        <w:gridCol w:w="1701"/>
        <w:gridCol w:w="1206"/>
        <w:gridCol w:w="70"/>
        <w:gridCol w:w="1137"/>
        <w:gridCol w:w="1206"/>
        <w:gridCol w:w="69"/>
        <w:gridCol w:w="1141"/>
      </w:tblGrid>
      <w:tr w:rsidR="00A5390D" w:rsidRPr="00A5390D" w14:paraId="1087BD6D" w14:textId="77777777" w:rsidTr="00A5390D">
        <w:trPr>
          <w:trHeight w:val="136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60E09C0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Caractères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398F12E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Vigueur au départ (1-9)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D6930CD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Floraison des épis (# jours) (2)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782001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Longueur des plantes (cm)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1494C9E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val="nl-BE" w:eastAsia="en-US"/>
              </w:rPr>
              <w:t>Hauteur moyenne de l'implantation de l'épi (cm)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140D04F8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Verse moment 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284611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Verse moment 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B8D24F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Pourriture moment 1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0CF01E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Pourriture moment 2</w:t>
            </w:r>
          </w:p>
        </w:tc>
      </w:tr>
      <w:tr w:rsidR="00A5390D" w:rsidRPr="00A5390D" w14:paraId="748CD07D" w14:textId="77777777" w:rsidTr="00A5390D">
        <w:trPr>
          <w:trHeight w:val="37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27ACA47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Variétés 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BAECACC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BA6FF79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0A3BF7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4F51179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8AC0F3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BD1B7E2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7788245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CE6927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moy.</w:t>
            </w:r>
          </w:p>
        </w:tc>
      </w:tr>
      <w:tr w:rsidR="00A5390D" w:rsidRPr="00A5390D" w14:paraId="5442E1C0" w14:textId="77777777" w:rsidTr="00A5390D">
        <w:trPr>
          <w:trHeight w:val="33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9274AA3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#  centres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5367398A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3A17334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27181ED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362E57B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40A8A4E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0368BE63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645C8C9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vAlign w:val="bottom"/>
            <w:hideMark/>
          </w:tcPr>
          <w:p w14:paraId="4D8A78A3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5390D" w:rsidRPr="00A5390D" w14:paraId="68954489" w14:textId="77777777" w:rsidTr="00A5390D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91B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HENLEY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8E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CE2D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468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2599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14C73653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C8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FC800BB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009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2,7</w:t>
            </w:r>
          </w:p>
        </w:tc>
      </w:tr>
      <w:tr w:rsidR="00A5390D" w:rsidRPr="00A5390D" w14:paraId="7512FB04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1732F9C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TEMOIN 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AF6467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54FA386B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1E533E02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A7EA418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676A36F6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70CB5A26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444E5B6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0D14E146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</w:tr>
      <w:tr w:rsidR="00A5390D" w:rsidRPr="00A5390D" w14:paraId="228081CA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851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MEGUSTO KWS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02F9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49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-0,6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47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B82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29D468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942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40523D03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733C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6,6</w:t>
            </w:r>
          </w:p>
        </w:tc>
      </w:tr>
      <w:tr w:rsidR="00A5390D" w:rsidRPr="00A5390D" w14:paraId="5DBA0B49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F6AE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MILLESIM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1F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EB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1B6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71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FC6BA71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4DAA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6F0F555C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C2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0,9</w:t>
            </w:r>
          </w:p>
        </w:tc>
      </w:tr>
      <w:tr w:rsidR="00A5390D" w:rsidRPr="00A5390D" w14:paraId="439BFDE2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A2F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NK FALKONE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3EAC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EE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7CA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7F2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7508AF17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FDB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3DDE3E5A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CE60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3,1</w:t>
            </w:r>
          </w:p>
        </w:tc>
      </w:tr>
      <w:tr w:rsidR="00A5390D" w:rsidRPr="00A5390D" w14:paraId="025BCBC8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C1B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SUCCESSOR KWS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BF3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8C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56AB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42E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565CCBF6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2,9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F7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auto"/>
            <w:noWrap/>
            <w:vAlign w:val="bottom"/>
            <w:hideMark/>
          </w:tcPr>
          <w:p w14:paraId="246D10E4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7EF" w14:textId="77777777" w:rsidR="00A5390D" w:rsidRPr="00A5390D" w:rsidRDefault="00A5390D" w:rsidP="00A5390D">
            <w:pPr>
              <w:widowControl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3,3</w:t>
            </w:r>
          </w:p>
        </w:tc>
      </w:tr>
      <w:tr w:rsidR="00A5390D" w:rsidRPr="00A5390D" w14:paraId="348EB36E" w14:textId="77777777" w:rsidTr="00A5390D">
        <w:trPr>
          <w:trHeight w:val="30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74BA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(1) T = variété témoin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B878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CD93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7585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1F32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DA0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E281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77D6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1B7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90D" w:rsidRPr="00A5390D" w14:paraId="32C1C0D6" w14:textId="77777777" w:rsidTr="00A5390D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56A7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(2) jours plus tardifs que KALIENTES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40BF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7CD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830D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70AC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65B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6BCE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80E7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90D" w:rsidRPr="00A5390D" w14:paraId="2A15F89C" w14:textId="77777777" w:rsidTr="00A5390D">
        <w:trPr>
          <w:trHeight w:val="300"/>
        </w:trPr>
        <w:tc>
          <w:tcPr>
            <w:tcW w:w="11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9DF2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(3) le témoin est la moyenne des variétés MEGUSTO KWS, MILLESIM, NK FALKONE et SUCCESSOR KWS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C56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FDC3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6332334" w14:textId="77777777" w:rsidR="00BA240C" w:rsidRPr="00A5390D" w:rsidRDefault="00BA240C">
      <w:pPr>
        <w:widowControl/>
        <w:rPr>
          <w:rFonts w:asciiTheme="minorHAnsi" w:hAnsiTheme="minorHAnsi" w:cstheme="minorHAnsi"/>
          <w:color w:val="000000"/>
          <w:sz w:val="22"/>
          <w:szCs w:val="22"/>
          <w:lang w:eastAsia="nl-BE"/>
        </w:rPr>
      </w:pPr>
    </w:p>
    <w:p w14:paraId="22DA8923" w14:textId="77777777" w:rsidR="00AA391D" w:rsidRPr="00A5390D" w:rsidRDefault="00AA391D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34CBD84F" w14:textId="77777777" w:rsidR="00BA240C" w:rsidRDefault="00BA240C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666C3DAF" w14:textId="77777777" w:rsidR="00A5390D" w:rsidRPr="00A5390D" w:rsidRDefault="00A5390D">
      <w:pPr>
        <w:widowControl/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</w:pPr>
    </w:p>
    <w:p w14:paraId="0B362B50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38286305" w14:textId="760B5C54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D5A0E04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2D88BC5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876AFA7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40162FB0" w14:textId="77777777" w:rsidR="00BA240C" w:rsidRPr="005A6334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2E304C67" w14:textId="037353BA" w:rsidR="00BA240C" w:rsidRPr="005A6334" w:rsidRDefault="005A6334">
      <w:pPr>
        <w:widowControl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lastRenderedPageBreak/>
        <w:t>Tableau 4</w:t>
      </w:r>
      <w:r w:rsidR="00AA391D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: Résultats des rendements et de précocité des nouvelles variétés précoces de maïs à ensi</w:t>
      </w:r>
      <w:r w:rsidR="0095133B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ler admises au catalogue en 2019</w:t>
      </w:r>
      <w:r w:rsidR="00AA391D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 xml:space="preserve"> en comparaison avec les 4 meilleures variétés témoins, </w:t>
      </w:r>
      <w:r w:rsidR="0095133B" w:rsidRPr="005A6334">
        <w:rPr>
          <w:rFonts w:asciiTheme="minorHAnsi" w:hAnsiTheme="minorHAnsi" w:cstheme="minorHAnsi"/>
          <w:color w:val="000000"/>
          <w:sz w:val="22"/>
          <w:szCs w:val="22"/>
          <w:lang w:val="fr-BE" w:eastAsia="nl-BE"/>
        </w:rPr>
        <w:t>sur base des essais de 2017 et 2018</w:t>
      </w:r>
    </w:p>
    <w:p w14:paraId="0DEFE09D" w14:textId="77777777" w:rsidR="00BA240C" w:rsidRPr="00A5390D" w:rsidRDefault="00BA240C">
      <w:pPr>
        <w:rPr>
          <w:rFonts w:asciiTheme="minorHAnsi" w:hAnsiTheme="minorHAnsi" w:cstheme="minorHAnsi"/>
          <w:sz w:val="22"/>
          <w:szCs w:val="22"/>
          <w:lang w:val="fr-BE"/>
        </w:rPr>
      </w:pPr>
    </w:p>
    <w:tbl>
      <w:tblPr>
        <w:tblW w:w="1427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764"/>
        <w:gridCol w:w="1765"/>
        <w:gridCol w:w="1765"/>
        <w:gridCol w:w="1765"/>
        <w:gridCol w:w="1765"/>
        <w:gridCol w:w="1765"/>
      </w:tblGrid>
      <w:tr w:rsidR="004747F9" w:rsidRPr="004747F9" w14:paraId="1334719E" w14:textId="77777777" w:rsidTr="004747F9">
        <w:trPr>
          <w:trHeight w:val="9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5D2B5F4" w14:textId="77777777" w:rsidR="004747F9" w:rsidRPr="00B37CC2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fr-BE" w:eastAsia="nl-BE"/>
              </w:rPr>
            </w:pPr>
            <w:r w:rsidRPr="00B37CC2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C4BD97"/>
            <w:vAlign w:val="bottom"/>
            <w:hideMark/>
          </w:tcPr>
          <w:p w14:paraId="4F9B039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 en grains (15% d'humidité) en %  par rapport à la moyenne des variétés témoins = 100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D9D9" w:fill="C4BD97"/>
            <w:noWrap/>
            <w:vAlign w:val="center"/>
            <w:hideMark/>
          </w:tcPr>
          <w:p w14:paraId="08E6A42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Précocité  (% d'humidité des grains)</w:t>
            </w:r>
          </w:p>
        </w:tc>
      </w:tr>
      <w:tr w:rsidR="004747F9" w:rsidRPr="004747F9" w14:paraId="222298C2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DF78121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B21BAC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58087FA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915E53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3808182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29932C1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E104B3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747F9" w:rsidRPr="004747F9" w14:paraId="3B3C7C96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244B1628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F9DC18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4BD97"/>
            <w:noWrap/>
            <w:vAlign w:val="bottom"/>
            <w:hideMark/>
          </w:tcPr>
          <w:p w14:paraId="1216B02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% rel.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B7002D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% rel.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32A8B16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D9D9D9" w:fill="C4BD97"/>
            <w:noWrap/>
            <w:vAlign w:val="bottom"/>
            <w:hideMark/>
          </w:tcPr>
          <w:p w14:paraId="7226AAAC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06E86F6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747F9" w:rsidRPr="004747F9" w14:paraId="701033AD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A844B94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054325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91D5CE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1681BD1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0A401DE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58C72A9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C4BD97"/>
            <w:noWrap/>
            <w:vAlign w:val="bottom"/>
            <w:hideMark/>
          </w:tcPr>
          <w:p w14:paraId="6BBA95C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4747F9" w:rsidRPr="004747F9" w14:paraId="637881EE" w14:textId="77777777" w:rsidTr="004747F9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6BF5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HENLEY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67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7C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BD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CA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31,0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8E8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29,1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1FB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30,2</w:t>
            </w:r>
          </w:p>
        </w:tc>
      </w:tr>
      <w:tr w:rsidR="004747F9" w:rsidRPr="004747F9" w14:paraId="3C25E484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noWrap/>
            <w:vAlign w:val="bottom"/>
            <w:hideMark/>
          </w:tcPr>
          <w:p w14:paraId="211D735C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STANDAARD (1)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F597B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87AF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2CAF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1907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10A09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AFA6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28,2</w:t>
            </w:r>
          </w:p>
        </w:tc>
      </w:tr>
      <w:tr w:rsidR="004747F9" w:rsidRPr="004747F9" w14:paraId="2705ADE7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6948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MEGUSTO KWS (T)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B40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48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EB3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7CF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09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25,6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F4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27,3</w:t>
            </w:r>
          </w:p>
        </w:tc>
      </w:tr>
      <w:tr w:rsidR="004747F9" w:rsidRPr="004747F9" w14:paraId="582147AA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8EF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MILLESIM (T)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DD4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5F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EE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C3B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30,2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146E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B9F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</w:tr>
      <w:tr w:rsidR="004747F9" w:rsidRPr="004747F9" w14:paraId="78C987F7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1AEE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NK FALKONE (T)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B9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35C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2A6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9F9A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B62D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26,4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762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27,5</w:t>
            </w:r>
          </w:p>
        </w:tc>
      </w:tr>
      <w:tr w:rsidR="004747F9" w:rsidRPr="004747F9" w14:paraId="2E27ECA0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5DD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SUCCESSOR KWS (T)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E84B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C8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298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7D93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29,2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B5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0B5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28,8</w:t>
            </w:r>
          </w:p>
        </w:tc>
      </w:tr>
      <w:tr w:rsidR="004747F9" w:rsidRPr="004747F9" w14:paraId="19C68A98" w14:textId="77777777" w:rsidTr="004747F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ADA" w:fill="D9D9D9"/>
            <w:vAlign w:val="bottom"/>
            <w:hideMark/>
          </w:tcPr>
          <w:p w14:paraId="4CAD8D1E" w14:textId="77777777" w:rsidR="004747F9" w:rsidRPr="004747F9" w:rsidRDefault="004747F9" w:rsidP="004747F9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Gem. Std.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B8D51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938F7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B1BB8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34054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7B23B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D4180" w14:textId="77777777" w:rsidR="004747F9" w:rsidRPr="004747F9" w:rsidRDefault="004747F9" w:rsidP="004747F9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747F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747F9" w:rsidRPr="004747F9" w14:paraId="0194EE38" w14:textId="77777777" w:rsidTr="004747F9">
        <w:trPr>
          <w:trHeight w:val="300"/>
        </w:trPr>
        <w:tc>
          <w:tcPr>
            <w:tcW w:w="14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9A72" w14:textId="14DF31BD" w:rsidR="004747F9" w:rsidRPr="00B37CC2" w:rsidRDefault="004747F9" w:rsidP="00B37CC2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</w:pPr>
            <w:r w:rsidRPr="00B37CC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  <w:t xml:space="preserve">  (1) </w:t>
            </w:r>
            <w:r w:rsidR="00B37CC2"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le témoin est la moyenne des variétés </w:t>
            </w:r>
            <w:r w:rsidRPr="00B37CC2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en-GB" w:eastAsia="nl-BE"/>
              </w:rPr>
              <w:t xml:space="preserve">MEGUSTO KWS, MILLESIM, NK FALKONE et SUCCESSOR KWS </w:t>
            </w:r>
          </w:p>
        </w:tc>
      </w:tr>
    </w:tbl>
    <w:p w14:paraId="4F8A2DD0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eastAsia="nl-BE"/>
        </w:rPr>
      </w:pPr>
    </w:p>
    <w:p w14:paraId="030C6274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0D29A01C" w14:textId="77777777" w:rsidR="00BA240C" w:rsidRPr="00A5390D" w:rsidRDefault="00BA240C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5F6A47E7" w14:textId="77777777" w:rsidR="00C604BE" w:rsidRPr="00A5390D" w:rsidRDefault="00C604BE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eastAsia="nl-BE"/>
        </w:rPr>
      </w:pPr>
    </w:p>
    <w:p w14:paraId="1191A2F9" w14:textId="77777777" w:rsidR="007C7D17" w:rsidRPr="005A6334" w:rsidRDefault="007C7D17">
      <w:pPr>
        <w:widowControl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</w:pPr>
    </w:p>
    <w:p w14:paraId="1B25F5FD" w14:textId="77777777" w:rsidR="00BA240C" w:rsidRPr="005A6334" w:rsidRDefault="00BA240C">
      <w:pPr>
        <w:widowControl/>
        <w:spacing w:after="200"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val="fr-BE" w:eastAsia="nl-BE"/>
        </w:rPr>
        <w:sectPr w:rsidR="00BA240C" w:rsidRPr="005A6334" w:rsidSect="005A6334"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1A5AA1FC" w14:textId="4079449D" w:rsidR="00BA240C" w:rsidRPr="00A5390D" w:rsidRDefault="00503856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A5390D">
        <w:rPr>
          <w:rFonts w:asciiTheme="minorHAnsi" w:hAnsiTheme="minorHAnsi" w:cstheme="minorHAnsi"/>
          <w:sz w:val="22"/>
          <w:szCs w:val="22"/>
          <w:u w:val="single"/>
          <w:lang w:val="fr-FR"/>
        </w:rPr>
        <w:lastRenderedPageBreak/>
        <w:t xml:space="preserve">BREVE </w:t>
      </w:r>
      <w:r w:rsidR="00AA391D" w:rsidRPr="00A5390D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DESCRIPTION DES </w:t>
      </w:r>
      <w:r w:rsidRPr="00A5390D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NOUVELLES </w:t>
      </w:r>
      <w:r w:rsidR="00AA391D" w:rsidRPr="00A5390D">
        <w:rPr>
          <w:rFonts w:asciiTheme="minorHAnsi" w:hAnsiTheme="minorHAnsi" w:cstheme="minorHAnsi"/>
          <w:sz w:val="22"/>
          <w:szCs w:val="22"/>
          <w:u w:val="single"/>
          <w:lang w:val="fr-FR"/>
        </w:rPr>
        <w:t>VARIETES</w:t>
      </w:r>
    </w:p>
    <w:p w14:paraId="2205076E" w14:textId="77777777" w:rsidR="00BA240C" w:rsidRPr="00A5390D" w:rsidRDefault="00BA240C">
      <w:pPr>
        <w:widowControl/>
        <w:rPr>
          <w:rFonts w:asciiTheme="minorHAnsi" w:hAnsiTheme="minorHAnsi" w:cstheme="minorHAnsi"/>
          <w:color w:val="FF0000"/>
          <w:sz w:val="22"/>
          <w:szCs w:val="22"/>
          <w:lang w:val="fr-BE" w:eastAsia="nl-BE"/>
        </w:rPr>
      </w:pP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2459"/>
        <w:gridCol w:w="6947"/>
      </w:tblGrid>
      <w:tr w:rsidR="00A5390D" w:rsidRPr="00A5390D" w14:paraId="221A702A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633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HENLEY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57C2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390D" w:rsidRPr="00A5390D" w14:paraId="130F5988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80F" w14:textId="77777777" w:rsidR="00A5390D" w:rsidRPr="00A5390D" w:rsidRDefault="00A5390D" w:rsidP="00A5390D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Demandeur : 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C842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A5390D" w:rsidRPr="00A5390D" w14:paraId="57651F6D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69CE" w14:textId="77777777" w:rsidR="00A5390D" w:rsidRPr="00A5390D" w:rsidRDefault="00A5390D" w:rsidP="00A5390D">
            <w:pPr>
              <w:widowControl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Obteneur : 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4E8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A5390D" w:rsidRPr="00A5390D" w14:paraId="2357B054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CCF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Mandataire : 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6D6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LIMAGRAIN BELGIUM (NV)</w:t>
            </w:r>
          </w:p>
        </w:tc>
      </w:tr>
      <w:tr w:rsidR="00A5390D" w:rsidRPr="00A5390D" w14:paraId="6E0325D5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F29" w14:textId="77777777" w:rsidR="00A5390D" w:rsidRPr="00A5390D" w:rsidRDefault="00A5390D" w:rsidP="00A5390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Type hybride : 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E07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A5390D" w:rsidRPr="00A5390D" w14:paraId="7BA1DE11" w14:textId="77777777" w:rsidTr="00A5390D">
        <w:trPr>
          <w:trHeight w:val="300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B6E" w14:textId="77777777" w:rsidR="00A5390D" w:rsidRPr="00A5390D" w:rsidRDefault="00A5390D" w:rsidP="00A5390D">
            <w:pPr>
              <w:widowControl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Type de grain : 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667E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corné-denté</w:t>
            </w:r>
          </w:p>
        </w:tc>
      </w:tr>
      <w:tr w:rsidR="00A5390D" w:rsidRPr="00A5390D" w14:paraId="6FEEAE5E" w14:textId="77777777" w:rsidTr="00A5390D">
        <w:trPr>
          <w:trHeight w:val="300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A68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Admise comme maïs grain</w:t>
            </w:r>
          </w:p>
        </w:tc>
      </w:tr>
      <w:tr w:rsidR="00A5390D" w:rsidRPr="00A5390D" w14:paraId="617428A6" w14:textId="77777777" w:rsidTr="00A5390D">
        <w:trPr>
          <w:trHeight w:val="300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3AE5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La variété a participé aux essais en 2017 et 2018 sous la référence : LZM166/02</w:t>
            </w:r>
          </w:p>
        </w:tc>
      </w:tr>
      <w:tr w:rsidR="00A5390D" w:rsidRPr="00A5390D" w14:paraId="314EDDE5" w14:textId="77777777" w:rsidTr="00A5390D">
        <w:trPr>
          <w:trHeight w:val="300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50C1" w14:textId="77777777" w:rsidR="00A5390D" w:rsidRPr="00A5390D" w:rsidRDefault="00A5390D" w:rsidP="00A5390D">
            <w:pPr>
              <w:widowControl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539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VG/A/080 /01584</w:t>
            </w:r>
          </w:p>
        </w:tc>
      </w:tr>
    </w:tbl>
    <w:p w14:paraId="5C8B5AE6" w14:textId="77777777" w:rsidR="00AD78E7" w:rsidRPr="005A6334" w:rsidRDefault="00AD78E7">
      <w:pPr>
        <w:widowControl/>
        <w:rPr>
          <w:rFonts w:asciiTheme="minorHAnsi" w:hAnsiTheme="minorHAnsi" w:cstheme="minorHAnsi"/>
        </w:rPr>
      </w:pPr>
    </w:p>
    <w:sectPr w:rsidR="00AD78E7" w:rsidRPr="005A6334" w:rsidSect="00766707">
      <w:footerReference w:type="default" r:id="rId9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F12E" w14:textId="77777777" w:rsidR="00F809E2" w:rsidRDefault="00F809E2">
      <w:r>
        <w:separator/>
      </w:r>
    </w:p>
  </w:endnote>
  <w:endnote w:type="continuationSeparator" w:id="0">
    <w:p w14:paraId="768B818E" w14:textId="77777777" w:rsidR="00F809E2" w:rsidRDefault="00F8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56763572" w:rsidR="002B7F55" w:rsidRDefault="002B7F5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C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4C74DF" w14:textId="77777777" w:rsidR="002B7F55" w:rsidRDefault="002B7F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723360"/>
      <w:docPartObj>
        <w:docPartGallery w:val="Page Numbers (Bottom of Page)"/>
        <w:docPartUnique/>
      </w:docPartObj>
    </w:sdtPr>
    <w:sdtEndPr/>
    <w:sdtContent>
      <w:p w14:paraId="1318A59A" w14:textId="66FBF821" w:rsidR="002B7F55" w:rsidRDefault="002B7F55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37CC2">
          <w:rPr>
            <w:noProof/>
          </w:rPr>
          <w:t>6</w:t>
        </w:r>
        <w:r>
          <w:rPr>
            <w:noProof/>
          </w:rPr>
          <w:fldChar w:fldCharType="end"/>
        </w:r>
      </w:p>
      <w:p w14:paraId="3395B427" w14:textId="77777777" w:rsidR="002B7F55" w:rsidRDefault="00B37CC2">
        <w:pPr>
          <w:pStyle w:val="Voetteks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430F1EC8" w:rsidR="002B7F55" w:rsidRDefault="002B7F55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37CC2">
          <w:rPr>
            <w:noProof/>
          </w:rPr>
          <w:t>7</w:t>
        </w:r>
        <w:r>
          <w:rPr>
            <w:noProof/>
          </w:rPr>
          <w:fldChar w:fldCharType="end"/>
        </w:r>
      </w:p>
      <w:p w14:paraId="25345A27" w14:textId="77777777" w:rsidR="002B7F55" w:rsidRDefault="00B37CC2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B661" w14:textId="77777777" w:rsidR="00F809E2" w:rsidRDefault="00F809E2">
      <w:r>
        <w:separator/>
      </w:r>
    </w:p>
  </w:footnote>
  <w:footnote w:type="continuationSeparator" w:id="0">
    <w:p w14:paraId="657C7806" w14:textId="77777777" w:rsidR="00F809E2" w:rsidRDefault="00F8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C"/>
    <w:rsid w:val="00040A58"/>
    <w:rsid w:val="00134D58"/>
    <w:rsid w:val="00136B9A"/>
    <w:rsid w:val="001D1FB5"/>
    <w:rsid w:val="00213AF7"/>
    <w:rsid w:val="002465D7"/>
    <w:rsid w:val="00287848"/>
    <w:rsid w:val="002B7F55"/>
    <w:rsid w:val="00311C34"/>
    <w:rsid w:val="003751EF"/>
    <w:rsid w:val="00377FB2"/>
    <w:rsid w:val="00417178"/>
    <w:rsid w:val="004747F9"/>
    <w:rsid w:val="004C2B5E"/>
    <w:rsid w:val="00503856"/>
    <w:rsid w:val="005333BA"/>
    <w:rsid w:val="005A6334"/>
    <w:rsid w:val="006406EA"/>
    <w:rsid w:val="00660EA9"/>
    <w:rsid w:val="00766707"/>
    <w:rsid w:val="00796FB8"/>
    <w:rsid w:val="007B17A4"/>
    <w:rsid w:val="007C7D17"/>
    <w:rsid w:val="007D0100"/>
    <w:rsid w:val="007D16EC"/>
    <w:rsid w:val="008630CC"/>
    <w:rsid w:val="0095133B"/>
    <w:rsid w:val="00A5390D"/>
    <w:rsid w:val="00AA391D"/>
    <w:rsid w:val="00AD78E7"/>
    <w:rsid w:val="00AD7A6E"/>
    <w:rsid w:val="00B21C8E"/>
    <w:rsid w:val="00B37CC2"/>
    <w:rsid w:val="00B5733A"/>
    <w:rsid w:val="00BA240C"/>
    <w:rsid w:val="00BE0664"/>
    <w:rsid w:val="00BE0B57"/>
    <w:rsid w:val="00C158A4"/>
    <w:rsid w:val="00C604BE"/>
    <w:rsid w:val="00D90F2C"/>
    <w:rsid w:val="00E60061"/>
    <w:rsid w:val="00E76F3C"/>
    <w:rsid w:val="00F528EF"/>
    <w:rsid w:val="00F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1A7"/>
  <w15:docId w15:val="{11957AB7-77A6-4650-8843-EB9FBEB1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Plattetekst"/>
    <w:link w:val="Kop1Ch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Kop2">
    <w:name w:val="heading 2"/>
    <w:basedOn w:val="Standaard"/>
    <w:next w:val="Plattetekst"/>
    <w:link w:val="Kop2Ch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semiHidden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34CF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Standaard"/>
    <w:next w:val="Plattetekst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rsid w:val="00766707"/>
    <w:pPr>
      <w:spacing w:after="140" w:line="288" w:lineRule="auto"/>
    </w:pPr>
  </w:style>
  <w:style w:type="paragraph" w:styleId="Lijst">
    <w:name w:val="List"/>
    <w:basedOn w:val="Plattetekst"/>
    <w:rsid w:val="00766707"/>
    <w:rPr>
      <w:rFonts w:cs="Arial"/>
    </w:rPr>
  </w:style>
  <w:style w:type="paragraph" w:styleId="Bijschrift">
    <w:name w:val="caption"/>
    <w:basedOn w:val="Standaard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ard"/>
    <w:qFormat/>
    <w:rsid w:val="00766707"/>
    <w:pPr>
      <w:suppressLineNumbers/>
    </w:pPr>
    <w:rPr>
      <w:rFonts w:cs="Arial"/>
    </w:rPr>
  </w:style>
  <w:style w:type="paragraph" w:styleId="Koptekst">
    <w:name w:val="header"/>
    <w:basedOn w:val="Standaard"/>
    <w:link w:val="KoptekstChar"/>
    <w:uiPriority w:val="99"/>
    <w:semiHidden/>
    <w:unhideWhenUsed/>
    <w:rsid w:val="00235C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B34CF4"/>
    <w:rPr>
      <w:sz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B34CF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Standaardtabe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Standaardtabe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Standaardtabe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Standaardtabe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Standaardtabe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Kop1Char">
    <w:name w:val="Kop 1 Char"/>
    <w:basedOn w:val="Standaardalinea-lettertype"/>
    <w:link w:val="Kop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Kop2Char">
    <w:name w:val="Kop 2 Char"/>
    <w:basedOn w:val="Standaardalinea-lettertype"/>
    <w:link w:val="Kop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Hyperlink">
    <w:name w:val="Hyperlink"/>
    <w:basedOn w:val="Standaardalinea-lettertype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121BA-F286-456A-8877-56DB3D5D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1078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Joke Pannecoucque</cp:lastModifiedBy>
  <cp:revision>16</cp:revision>
  <cp:lastPrinted>2018-01-17T16:16:00Z</cp:lastPrinted>
  <dcterms:created xsi:type="dcterms:W3CDTF">2017-02-08T13:56:00Z</dcterms:created>
  <dcterms:modified xsi:type="dcterms:W3CDTF">2019-01-29T13:38:00Z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